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ook w:val="01E0" w:firstRow="1" w:lastRow="1" w:firstColumn="1" w:lastColumn="1" w:noHBand="0" w:noVBand="0"/>
      </w:tblPr>
      <w:tblGrid>
        <w:gridCol w:w="3402"/>
        <w:gridCol w:w="5670"/>
      </w:tblGrid>
      <w:tr w:rsidR="00CF3772" w:rsidRPr="00D16E80" w:rsidTr="00D05F7B">
        <w:tc>
          <w:tcPr>
            <w:tcW w:w="3402" w:type="dxa"/>
            <w:shd w:val="clear" w:color="auto" w:fill="auto"/>
          </w:tcPr>
          <w:p w:rsidR="00CF3772" w:rsidRPr="00463C04" w:rsidRDefault="00CF3772" w:rsidP="00C777EB">
            <w:pPr>
              <w:spacing w:before="0"/>
              <w:jc w:val="center"/>
              <w:rPr>
                <w:sz w:val="26"/>
                <w:szCs w:val="26"/>
              </w:rPr>
            </w:pPr>
            <w:r w:rsidRPr="00463C04">
              <w:rPr>
                <w:sz w:val="26"/>
                <w:szCs w:val="26"/>
              </w:rPr>
              <w:t>UBND TỈNH AN GIANG</w:t>
            </w:r>
          </w:p>
        </w:tc>
        <w:tc>
          <w:tcPr>
            <w:tcW w:w="5670" w:type="dxa"/>
            <w:shd w:val="clear" w:color="auto" w:fill="auto"/>
          </w:tcPr>
          <w:p w:rsidR="00CF3772" w:rsidRPr="00D16E80" w:rsidRDefault="00CF3772" w:rsidP="00C777EB">
            <w:pPr>
              <w:spacing w:before="0"/>
              <w:jc w:val="center"/>
              <w:rPr>
                <w:sz w:val="26"/>
                <w:szCs w:val="26"/>
              </w:rPr>
            </w:pPr>
            <w:r w:rsidRPr="00D16E80">
              <w:rPr>
                <w:b/>
                <w:sz w:val="26"/>
                <w:szCs w:val="26"/>
              </w:rPr>
              <w:t>CỘNG HÒA XÃ HỘI CHỦ NGHĨA VIỆT NAM</w:t>
            </w:r>
          </w:p>
        </w:tc>
      </w:tr>
      <w:tr w:rsidR="00CF3772" w:rsidRPr="00D16E80" w:rsidTr="00D05F7B">
        <w:tc>
          <w:tcPr>
            <w:tcW w:w="3402" w:type="dxa"/>
            <w:shd w:val="clear" w:color="auto" w:fill="auto"/>
          </w:tcPr>
          <w:p w:rsidR="00CF3772" w:rsidRPr="00463C04" w:rsidRDefault="00CF3772" w:rsidP="00C777EB">
            <w:pPr>
              <w:spacing w:before="0"/>
              <w:jc w:val="center"/>
              <w:rPr>
                <w:b/>
                <w:sz w:val="26"/>
                <w:szCs w:val="26"/>
              </w:rPr>
            </w:pPr>
            <w:r w:rsidRPr="00463C04">
              <w:rPr>
                <w:b/>
                <w:sz w:val="26"/>
                <w:szCs w:val="26"/>
              </w:rPr>
              <w:t>SỞ NỘI VỤ</w:t>
            </w:r>
          </w:p>
        </w:tc>
        <w:tc>
          <w:tcPr>
            <w:tcW w:w="5670" w:type="dxa"/>
            <w:shd w:val="clear" w:color="auto" w:fill="auto"/>
          </w:tcPr>
          <w:p w:rsidR="00CF3772" w:rsidRPr="00D16E80" w:rsidRDefault="00CF3772" w:rsidP="00C777EB">
            <w:pPr>
              <w:spacing w:before="0"/>
              <w:jc w:val="center"/>
            </w:pPr>
            <w:r w:rsidRPr="00D16E80">
              <w:rPr>
                <w:b/>
              </w:rPr>
              <w:t>Độc lập - Tự do - Hạnh phúc</w:t>
            </w:r>
          </w:p>
        </w:tc>
      </w:tr>
      <w:tr w:rsidR="00CF3772" w:rsidRPr="00D16E80" w:rsidTr="00D05F7B">
        <w:tc>
          <w:tcPr>
            <w:tcW w:w="3402" w:type="dxa"/>
            <w:shd w:val="clear" w:color="auto" w:fill="auto"/>
          </w:tcPr>
          <w:p w:rsidR="00CF3772" w:rsidRPr="00D16E80" w:rsidRDefault="0034015A" w:rsidP="00C777EB">
            <w:pPr>
              <w:spacing w:before="0"/>
              <w:jc w:val="center"/>
              <w:rPr>
                <w:b/>
              </w:rPr>
            </w:pPr>
            <w:r>
              <w:rPr>
                <w:noProof/>
                <w:sz w:val="3276"/>
                <w:szCs w:val="3276"/>
              </w:rPr>
              <mc:AlternateContent>
                <mc:Choice Requires="wps">
                  <w:drawing>
                    <wp:anchor distT="0" distB="0" distL="114300" distR="114300" simplePos="0" relativeHeight="251659264" behindDoc="0" locked="0" layoutInCell="1" allowOverlap="1" wp14:anchorId="5294C507" wp14:editId="30576C38">
                      <wp:simplePos x="0" y="0"/>
                      <wp:positionH relativeFrom="column">
                        <wp:posOffset>881049</wp:posOffset>
                      </wp:positionH>
                      <wp:positionV relativeFrom="paragraph">
                        <wp:posOffset>37465</wp:posOffset>
                      </wp:positionV>
                      <wp:extent cx="3600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CAC4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2.95pt" to="9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xQh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"/>
                  </w:pict>
                </mc:Fallback>
              </mc:AlternateContent>
            </w:r>
          </w:p>
        </w:tc>
        <w:tc>
          <w:tcPr>
            <w:tcW w:w="5670" w:type="dxa"/>
            <w:shd w:val="clear" w:color="auto" w:fill="auto"/>
          </w:tcPr>
          <w:p w:rsidR="00CF3772" w:rsidRPr="00D16E80" w:rsidRDefault="00D05F7B" w:rsidP="00C777EB">
            <w:pPr>
              <w:spacing w:before="0"/>
              <w:jc w:val="center"/>
              <w:rPr>
                <w:b/>
              </w:rPr>
            </w:pPr>
            <w:r>
              <w:rPr>
                <w:noProof/>
                <w:szCs w:val="3276"/>
              </w:rPr>
              <mc:AlternateContent>
                <mc:Choice Requires="wps">
                  <w:drawing>
                    <wp:anchor distT="0" distB="0" distL="114300" distR="114300" simplePos="0" relativeHeight="251660288" behindDoc="0" locked="0" layoutInCell="1" allowOverlap="1" wp14:anchorId="2F82724E" wp14:editId="3A67D9BA">
                      <wp:simplePos x="0" y="0"/>
                      <wp:positionH relativeFrom="column">
                        <wp:posOffset>644194</wp:posOffset>
                      </wp:positionH>
                      <wp:positionV relativeFrom="paragraph">
                        <wp:posOffset>10795</wp:posOffset>
                      </wp:positionV>
                      <wp:extent cx="216027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911C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85pt" to="22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Md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bJbm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"/>
                  </w:pict>
                </mc:Fallback>
              </mc:AlternateContent>
            </w:r>
          </w:p>
        </w:tc>
      </w:tr>
      <w:tr w:rsidR="00CF3772" w:rsidRPr="00D16E80" w:rsidTr="00D05F7B">
        <w:trPr>
          <w:trHeight w:val="1161"/>
        </w:trPr>
        <w:tc>
          <w:tcPr>
            <w:tcW w:w="3402" w:type="dxa"/>
            <w:shd w:val="clear" w:color="auto" w:fill="auto"/>
          </w:tcPr>
          <w:p w:rsidR="00CF3772" w:rsidRPr="00CA1465" w:rsidRDefault="00CF3772" w:rsidP="00EF1EA5">
            <w:pPr>
              <w:spacing w:before="0" w:after="120"/>
              <w:jc w:val="center"/>
              <w:rPr>
                <w:sz w:val="26"/>
              </w:rPr>
            </w:pPr>
            <w:r w:rsidRPr="00CA1465">
              <w:rPr>
                <w:sz w:val="26"/>
              </w:rPr>
              <w:t xml:space="preserve">Số: </w:t>
            </w:r>
            <w:r w:rsidR="008A4742" w:rsidRPr="00CA1465">
              <w:rPr>
                <w:sz w:val="26"/>
              </w:rPr>
              <w:t xml:space="preserve">           </w:t>
            </w:r>
            <w:r w:rsidRPr="00CA1465">
              <w:rPr>
                <w:sz w:val="26"/>
              </w:rPr>
              <w:t>/SNV</w:t>
            </w:r>
            <w:r w:rsidR="008D3429">
              <w:rPr>
                <w:sz w:val="26"/>
              </w:rPr>
              <w:t>-VP</w:t>
            </w:r>
          </w:p>
          <w:p w:rsidR="000C510E" w:rsidRDefault="00B43EBE" w:rsidP="006A02A5">
            <w:pPr>
              <w:spacing w:before="0"/>
              <w:jc w:val="center"/>
              <w:rPr>
                <w:sz w:val="24"/>
              </w:rPr>
            </w:pPr>
            <w:r w:rsidRPr="00B43EBE">
              <w:rPr>
                <w:sz w:val="24"/>
              </w:rPr>
              <w:t xml:space="preserve">V/v </w:t>
            </w:r>
            <w:r w:rsidR="00A93457" w:rsidRPr="00A93457">
              <w:rPr>
                <w:sz w:val="24"/>
              </w:rPr>
              <w:t>triển khai tiếp nhận, giải quyết thủ tục hành chính lĩnh vực nội vụ trên Hệ thống thông tin giải quyết thủ tục hành chính của Bộ Nội vụ</w:t>
            </w:r>
          </w:p>
          <w:p w:rsidR="004931B2" w:rsidRPr="00CA1465" w:rsidRDefault="004931B2" w:rsidP="00052766">
            <w:pPr>
              <w:spacing w:before="0"/>
              <w:jc w:val="center"/>
            </w:pPr>
          </w:p>
        </w:tc>
        <w:tc>
          <w:tcPr>
            <w:tcW w:w="5670" w:type="dxa"/>
            <w:shd w:val="clear" w:color="auto" w:fill="auto"/>
          </w:tcPr>
          <w:p w:rsidR="00CF3772" w:rsidRPr="00D16E80" w:rsidRDefault="00CF3772" w:rsidP="00C84CBC">
            <w:pPr>
              <w:spacing w:before="0"/>
              <w:jc w:val="center"/>
              <w:rPr>
                <w:b/>
              </w:rPr>
            </w:pPr>
            <w:r w:rsidRPr="00D16E80">
              <w:rPr>
                <w:i/>
              </w:rPr>
              <w:t>An Giang, ngày</w:t>
            </w:r>
            <w:r w:rsidR="00D62706">
              <w:rPr>
                <w:i/>
              </w:rPr>
              <w:t xml:space="preserve"> </w:t>
            </w:r>
            <w:r w:rsidR="008B6E4E">
              <w:rPr>
                <w:i/>
              </w:rPr>
              <w:t xml:space="preserve">    </w:t>
            </w:r>
            <w:r w:rsidR="008A4742">
              <w:rPr>
                <w:i/>
              </w:rPr>
              <w:t xml:space="preserve"> </w:t>
            </w:r>
            <w:r w:rsidR="00D62706">
              <w:rPr>
                <w:i/>
              </w:rPr>
              <w:t xml:space="preserve"> </w:t>
            </w:r>
            <w:r w:rsidRPr="00D16E80">
              <w:rPr>
                <w:i/>
              </w:rPr>
              <w:t xml:space="preserve">tháng </w:t>
            </w:r>
            <w:r w:rsidR="00C84CBC">
              <w:rPr>
                <w:i/>
              </w:rPr>
              <w:t>4</w:t>
            </w:r>
            <w:r w:rsidRPr="00D16E80">
              <w:rPr>
                <w:i/>
              </w:rPr>
              <w:t xml:space="preserve"> năm 202</w:t>
            </w:r>
            <w:r w:rsidR="00DD531B">
              <w:rPr>
                <w:i/>
              </w:rPr>
              <w:t>6</w:t>
            </w:r>
          </w:p>
        </w:tc>
      </w:tr>
    </w:tbl>
    <w:p w:rsidR="008D3429" w:rsidRDefault="008D3429" w:rsidP="00482A30">
      <w:pPr>
        <w:spacing w:before="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8"/>
      </w:tblGrid>
      <w:tr w:rsidR="00052766" w:rsidTr="006A02A5">
        <w:tc>
          <w:tcPr>
            <w:tcW w:w="3544" w:type="dxa"/>
          </w:tcPr>
          <w:p w:rsidR="00052766" w:rsidRDefault="00052766" w:rsidP="00052766">
            <w:pPr>
              <w:spacing w:before="0"/>
              <w:jc w:val="right"/>
            </w:pPr>
            <w:r>
              <w:t>Kính gửi:</w:t>
            </w:r>
          </w:p>
        </w:tc>
        <w:tc>
          <w:tcPr>
            <w:tcW w:w="5518" w:type="dxa"/>
          </w:tcPr>
          <w:p w:rsidR="00A93457" w:rsidRDefault="00A93457" w:rsidP="00F86548">
            <w:pPr>
              <w:spacing w:before="0"/>
            </w:pPr>
          </w:p>
          <w:p w:rsidR="00A93457" w:rsidRDefault="00A93457" w:rsidP="00F86548">
            <w:pPr>
              <w:spacing w:before="0"/>
            </w:pPr>
            <w:r>
              <w:t>- Ban Quản lý Khu kinh tế tỉnh;</w:t>
            </w:r>
          </w:p>
          <w:p w:rsidR="00F86548" w:rsidRDefault="00A93457" w:rsidP="00A93457">
            <w:pPr>
              <w:spacing w:before="60"/>
            </w:pPr>
            <w:r>
              <w:t xml:space="preserve">- </w:t>
            </w:r>
            <w:r w:rsidR="007317F3">
              <w:t>Ủy ban nhân dân xã, phường, đặ</w:t>
            </w:r>
            <w:r w:rsidR="00F86548">
              <w:t xml:space="preserve">c khu. </w:t>
            </w:r>
          </w:p>
        </w:tc>
      </w:tr>
    </w:tbl>
    <w:p w:rsidR="00052766" w:rsidRDefault="00052766" w:rsidP="008B6E4E">
      <w:pPr>
        <w:spacing w:before="0"/>
      </w:pPr>
    </w:p>
    <w:p w:rsidR="00134740" w:rsidRDefault="00134740" w:rsidP="009168EC">
      <w:pPr>
        <w:spacing w:line="288" w:lineRule="auto"/>
        <w:ind w:firstLine="709"/>
        <w:jc w:val="both"/>
      </w:pPr>
      <w:r>
        <w:t>Căn cứ Công văn số 460/VP-VTLT&amp;KSTTHC ngày 09 tháng 3 năm 2026 của Bộ Nội vụ về việc phân quyền cho cán bộ quản trị cấp Sở của Hệ thống thông tin giải quyết TTHC;</w:t>
      </w:r>
    </w:p>
    <w:p w:rsidR="00E157BE" w:rsidRDefault="00E157BE" w:rsidP="009168EC">
      <w:pPr>
        <w:spacing w:line="288" w:lineRule="auto"/>
        <w:ind w:firstLine="709"/>
        <w:jc w:val="both"/>
      </w:pPr>
      <w:r>
        <w:t>Căn cứ Công văn số 2475/BNV-VP ngày 19 tháng 3 năm 2026 của Bộ Nội vụ về việc trả lời kiến nghị, đề xuất của Ủy ban nhân dân tỉnh An Giang;</w:t>
      </w:r>
    </w:p>
    <w:p w:rsidR="007317F3" w:rsidRDefault="008B6E4E" w:rsidP="009168EC">
      <w:pPr>
        <w:spacing w:line="288" w:lineRule="auto"/>
        <w:ind w:firstLine="709"/>
        <w:jc w:val="both"/>
      </w:pPr>
      <w:r>
        <w:tab/>
      </w:r>
      <w:r w:rsidR="007317F3" w:rsidRPr="007317F3">
        <w:t>Căn cứ Quyết định số 358/QĐ-BNV ngày 27 tháng 3 năm 2026 của Bộ trưởng Bộ Nội vụ về việc công bố Danh mục thủ tục hành chính thuộc phạm vi quản lý nhà nước của Bộ Nội vụ triển khai thực hiện trên Hệ thống thông tin giải quyết thủ tục hành chính tập trung của Bộ Nội vụ</w:t>
      </w:r>
      <w:r w:rsidR="007317F3">
        <w:t>;</w:t>
      </w:r>
    </w:p>
    <w:p w:rsidR="00F271ED" w:rsidRDefault="00F271ED" w:rsidP="009168EC">
      <w:pPr>
        <w:spacing w:line="288" w:lineRule="auto"/>
        <w:ind w:firstLine="709"/>
        <w:jc w:val="both"/>
      </w:pPr>
      <w:r>
        <w:t>Căn cứ Công văn số 2885/BNV-VP ngày 29 tháng 3 năm 2026 của Bộ Nội vụ về việc triển khai Hệ thống thông tin giải quyết TTHC các lĩnh vực quản lý nhà nước của Bộ Nội vụ</w:t>
      </w:r>
      <w:r w:rsidR="00E157BE">
        <w:t>;</w:t>
      </w:r>
    </w:p>
    <w:p w:rsidR="00E157BE" w:rsidRDefault="00E157BE" w:rsidP="009168EC">
      <w:pPr>
        <w:spacing w:line="288" w:lineRule="auto"/>
        <w:ind w:firstLine="709"/>
        <w:jc w:val="both"/>
      </w:pPr>
      <w:r>
        <w:t xml:space="preserve">Căn cứ Công văn số </w:t>
      </w:r>
      <w:r w:rsidR="00C84CBC">
        <w:t>1209</w:t>
      </w:r>
      <w:r>
        <w:t>/UBN</w:t>
      </w:r>
      <w:r w:rsidR="00C84CBC">
        <w:t>D</w:t>
      </w:r>
      <w:r>
        <w:t>-</w:t>
      </w:r>
      <w:r w:rsidR="00C84CBC">
        <w:t>HCC</w:t>
      </w:r>
      <w:r>
        <w:t xml:space="preserve"> ngày </w:t>
      </w:r>
      <w:r w:rsidR="00C84CBC">
        <w:t xml:space="preserve">04 </w:t>
      </w:r>
      <w:r>
        <w:t xml:space="preserve">tháng 4 năm 2026 về việc </w:t>
      </w:r>
      <w:r w:rsidRPr="007317F3">
        <w:t>triển khai tiếp nhận, giải quyết thủ tục hành chính theo Quyết định số 358/QĐ-BNV của Bộ Nội vụ</w:t>
      </w:r>
      <w:r>
        <w:t>;</w:t>
      </w:r>
    </w:p>
    <w:p w:rsidR="00F86548" w:rsidRDefault="00F86548" w:rsidP="009168EC">
      <w:pPr>
        <w:spacing w:line="288" w:lineRule="auto"/>
        <w:ind w:firstLine="720"/>
        <w:jc w:val="both"/>
      </w:pPr>
      <w:r w:rsidRPr="00F86548">
        <w:t>Thực hiện chỉ đạo của Bộ Nội vụ và Ủy ban nhân dân tỉnh về việc triển khai tiếp nhận, giải quyết thủ tục hành chính lĩnh vực nội vụ trên Hệ thống thông tin giải quyết thủ tục hành chính của Bộ Nội vụ, Sở Nội vụ đề nghị Ủy ban nhân dân xã, phường, đặc khu</w:t>
      </w:r>
      <w:r w:rsidR="00C84CBC">
        <w:t xml:space="preserve"> và các cơ quan, đơn vị có liên quan</w:t>
      </w:r>
      <w:r w:rsidRPr="00F86548">
        <w:t xml:space="preserve"> quan tâm chỉ đạo triển khai thực hiện một số nội dung sau:</w:t>
      </w:r>
    </w:p>
    <w:p w:rsidR="00134740" w:rsidRPr="009615AE" w:rsidRDefault="00134740" w:rsidP="009168EC">
      <w:pPr>
        <w:spacing w:line="288" w:lineRule="auto"/>
        <w:ind w:firstLine="720"/>
        <w:jc w:val="both"/>
        <w:rPr>
          <w:b/>
        </w:rPr>
      </w:pPr>
      <w:r w:rsidRPr="009615AE">
        <w:rPr>
          <w:b/>
        </w:rPr>
        <w:t>1. Cử cán bộ đầu mối phụ trách kiểm soát thủ tục hành chính lĩnh vực nội vụ</w:t>
      </w:r>
    </w:p>
    <w:p w:rsidR="00E0313F" w:rsidRDefault="00E0313F" w:rsidP="009168EC">
      <w:pPr>
        <w:spacing w:line="288" w:lineRule="auto"/>
        <w:ind w:firstLine="720"/>
        <w:jc w:val="both"/>
      </w:pPr>
      <w:r>
        <w:lastRenderedPageBreak/>
        <w:t>- Lựa chọn công chức phù hợp làm đầu mối, phối hợp với Sở Nội vụ trong các nội dung: đăng ký, cập nhật, làm sạch dữ liệu tài khoản cán bộ, công chức</w:t>
      </w:r>
      <w:r w:rsidR="00C84CBC">
        <w:t>, viên chức</w:t>
      </w:r>
      <w:r>
        <w:t>; tài khoản thu phí, lệ phí trên Hệ thống thông tin giải quyết thủ tục hành chính của Bộ Nội vụ;</w:t>
      </w:r>
    </w:p>
    <w:p w:rsidR="00E0313F" w:rsidRDefault="00E0313F" w:rsidP="009168EC">
      <w:pPr>
        <w:spacing w:line="288" w:lineRule="auto"/>
        <w:ind w:firstLine="720"/>
        <w:jc w:val="both"/>
      </w:pPr>
      <w:r>
        <w:t>- Phối hợp kiểm thử các thủ tục hành chính có quy trình liên thông giữa cấp xã và cấp tỉnh;</w:t>
      </w:r>
    </w:p>
    <w:p w:rsidR="00E0313F" w:rsidRDefault="00E0313F" w:rsidP="009168EC">
      <w:pPr>
        <w:spacing w:line="288" w:lineRule="auto"/>
        <w:ind w:firstLine="720"/>
        <w:jc w:val="both"/>
      </w:pPr>
      <w:r>
        <w:t>- Phối hợp cung cấp số liệu, kịp thời triển khai các nội dung liên quan đến kiểm soát thủ tục hành chính thuộc phạm vi quản lý của cơ quan, đơn vị trong lĩnh vực nội vụ;</w:t>
      </w:r>
    </w:p>
    <w:p w:rsidR="00E0313F" w:rsidRDefault="00E0313F" w:rsidP="009168EC">
      <w:pPr>
        <w:spacing w:line="288" w:lineRule="auto"/>
        <w:ind w:firstLine="720"/>
        <w:jc w:val="both"/>
      </w:pPr>
      <w:r>
        <w:t>- Thông tin cử đầu mối gồm: họ và tên, chức vụ, đơn vị công tác, số điện thoại, địa chỉ thư điện tử công vụ</w:t>
      </w:r>
      <w:r w:rsidR="009E4E0D">
        <w:t>;</w:t>
      </w:r>
      <w:r w:rsidR="00C92213">
        <w:t xml:space="preserve"> </w:t>
      </w:r>
      <w:r w:rsidR="009E4E0D" w:rsidRPr="009E4E0D">
        <w:rPr>
          <w:b/>
          <w:i/>
        </w:rPr>
        <w:t>h</w:t>
      </w:r>
      <w:r w:rsidR="002A2EB3" w:rsidRPr="009E4E0D">
        <w:rPr>
          <w:b/>
          <w:i/>
        </w:rPr>
        <w:t xml:space="preserve">oàn thành chậm nhất ngày </w:t>
      </w:r>
      <w:r w:rsidR="0055020C">
        <w:rPr>
          <w:b/>
          <w:i/>
        </w:rPr>
        <w:t>10</w:t>
      </w:r>
      <w:r w:rsidR="002A2EB3" w:rsidRPr="009E4E0D">
        <w:rPr>
          <w:b/>
          <w:i/>
        </w:rPr>
        <w:t>/4/2026</w:t>
      </w:r>
    </w:p>
    <w:p w:rsidR="00F27789" w:rsidRPr="009615AE" w:rsidRDefault="00F27789" w:rsidP="009168EC">
      <w:pPr>
        <w:spacing w:line="288" w:lineRule="auto"/>
        <w:ind w:firstLine="720"/>
        <w:jc w:val="both"/>
        <w:rPr>
          <w:b/>
        </w:rPr>
      </w:pPr>
      <w:r w:rsidRPr="009615AE">
        <w:rPr>
          <w:b/>
        </w:rPr>
        <w:t>2. Triển khai thực hiện Quyết định số 358/QĐ-BNV của Bộ Nội vụ</w:t>
      </w:r>
    </w:p>
    <w:p w:rsidR="00C84CBC" w:rsidRDefault="00C84CBC" w:rsidP="009168EC">
      <w:pPr>
        <w:spacing w:line="288" w:lineRule="auto"/>
        <w:ind w:firstLine="720"/>
        <w:jc w:val="both"/>
      </w:pPr>
      <w:r>
        <w:t>- Tổ chức phổ biến, quán triệt đến toàn thể cán bộ, công chức, viên chức thuộc phạm vi quản lý về việc tiếp nhận, giải quyết thủ tục hành chính lĩnh vực nội vụ trên Hệ thống thông tin giải quyết thủ tục hành chính của Bộ Nội vụ.</w:t>
      </w:r>
    </w:p>
    <w:p w:rsidR="00E0313F" w:rsidRDefault="00E0313F" w:rsidP="009168EC">
      <w:pPr>
        <w:spacing w:line="288" w:lineRule="auto"/>
        <w:ind w:firstLine="720"/>
        <w:jc w:val="both"/>
      </w:pPr>
      <w:r>
        <w:t>- Rà soát, đối chiếu các thủ tục hành chính thuộc thẩm quyền tiếp nhận, giải quyết của địa phương trong Danh mục ban hành kèm theo Quyết định số 358/QĐ-BNV; kịp thời phản ánh, phối hợp với Sở Nội vụ để tổng hợp, kiến nghị Bộ Nội vụ đối với các thủ tục chưa được cấu hình trên hệ thống;</w:t>
      </w:r>
    </w:p>
    <w:p w:rsidR="00E0313F" w:rsidRDefault="00E0313F" w:rsidP="009168EC">
      <w:pPr>
        <w:spacing w:line="288" w:lineRule="auto"/>
        <w:ind w:firstLine="720"/>
        <w:jc w:val="both"/>
      </w:pPr>
      <w:r>
        <w:t>- Rà soát, hoàn thiện quy trình nội bộ; chủ động kiểm thử các quy trình điện tử trên hệ thống; kịp thời phản ánh, phối hợp với Sở Nội vụ để điều chỉnh phù hợp với thực tiễn địa phương;</w:t>
      </w:r>
    </w:p>
    <w:p w:rsidR="00E0313F" w:rsidRDefault="00E0313F" w:rsidP="009168EC">
      <w:pPr>
        <w:spacing w:line="288" w:lineRule="auto"/>
        <w:ind w:firstLine="720"/>
        <w:jc w:val="both"/>
      </w:pPr>
      <w:r>
        <w:t>- Bảo đảm các điều kiện về nhân lực, hạ tầng kỹ thuật, trang thiết bị và các điều kiện cần thiết khác để thực hiện thủ tục hành chính trên môi trường điện tử.</w:t>
      </w:r>
    </w:p>
    <w:p w:rsidR="00DD14EE" w:rsidRDefault="00DD14EE" w:rsidP="009168EC">
      <w:pPr>
        <w:spacing w:line="288" w:lineRule="auto"/>
        <w:ind w:firstLine="720"/>
        <w:jc w:val="both"/>
        <w:rPr>
          <w:b/>
        </w:rPr>
      </w:pPr>
      <w:r>
        <w:rPr>
          <w:b/>
        </w:rPr>
        <w:t>3. Triển khai chức năng liên thông hồ sơ giải quyết TTH</w:t>
      </w:r>
      <w:r w:rsidR="00C6187A">
        <w:rPr>
          <w:b/>
        </w:rPr>
        <w:t>C</w:t>
      </w:r>
      <w:r>
        <w:rPr>
          <w:b/>
        </w:rPr>
        <w:t xml:space="preserve"> trên hệ thống giải quyết TTHC của Bộ Nội vụ với hệ thống quản lý văn bản và điều hành (VNPT - iOffice 5.0) </w:t>
      </w:r>
    </w:p>
    <w:p w:rsidR="00953200" w:rsidRDefault="00953200" w:rsidP="009168EC">
      <w:pPr>
        <w:spacing w:line="288" w:lineRule="auto"/>
        <w:ind w:firstLine="720"/>
        <w:jc w:val="both"/>
      </w:pPr>
      <w:r w:rsidRPr="00953200">
        <w:t>Thực hiện hướng dẫn kết nối, tích hợp VNPT-iOffice 5.0 với Hệ thống thông tin giải quyết thủ tục hành chính của Bộ Nội vụ, Sở Nội vụ đã phối hợp với Sở Khoa học và Công nghệ và Viễn thông An Giang triển khai các nghiệp vụ kỹ thuật, tổ chức kết nối, liên thông giữa hai hệ thố</w:t>
      </w:r>
      <w:r>
        <w:t>ng</w:t>
      </w:r>
      <w:r w:rsidR="00C6187A" w:rsidRPr="00C6187A">
        <w:rPr>
          <w:rStyle w:val="FootnoteReference"/>
          <w:b/>
        </w:rPr>
        <w:footnoteReference w:id="1"/>
      </w:r>
      <w:r w:rsidR="00C6187A">
        <w:t xml:space="preserve">. </w:t>
      </w:r>
    </w:p>
    <w:p w:rsidR="00953200" w:rsidRDefault="00953200" w:rsidP="009168EC">
      <w:pPr>
        <w:spacing w:line="288" w:lineRule="auto"/>
        <w:ind w:firstLine="720"/>
        <w:jc w:val="both"/>
      </w:pPr>
      <w:r w:rsidRPr="00953200">
        <w:lastRenderedPageBreak/>
        <w:t xml:space="preserve">Đồng thời, Sở Nội vụ </w:t>
      </w:r>
      <w:r w:rsidR="00C84CBC">
        <w:t>đã</w:t>
      </w:r>
      <w:r w:rsidRPr="00953200">
        <w:t xml:space="preserve"> đăng ký tích hợp chức năng liên thông hồ sơ giải quyết thủ tục hành chính giữa hai hệ thống đối với toàn bộ thủ tục hành chính lĩnh vực nội vụ trên địa bàn tỉnh</w:t>
      </w:r>
      <w:r w:rsidR="008A6F56" w:rsidRPr="00747281">
        <w:rPr>
          <w:rStyle w:val="FootnoteReference"/>
          <w:b/>
        </w:rPr>
        <w:footnoteReference w:id="2"/>
      </w:r>
      <w:r w:rsidRPr="00953200">
        <w:t>. Qua thời gian vận hành thử nghiệm, chức năng của hệ thống cơ bản đã ổn định, đáp ứng yêu cầu khai thác, sử dụng.</w:t>
      </w:r>
    </w:p>
    <w:p w:rsidR="00953200" w:rsidRDefault="00953200" w:rsidP="009168EC">
      <w:pPr>
        <w:spacing w:line="288" w:lineRule="auto"/>
        <w:ind w:firstLine="720"/>
        <w:jc w:val="both"/>
      </w:pPr>
      <w:r w:rsidRPr="00953200">
        <w:t>Sở Nội vụ đề nghị các cơ quan, đơn vị có tham gia tiếp nhận, giải quyết thủ tục hành chính trên Hệ thống thông tin giải quyết thủ tục hành chính của Bộ Nội vụ nghiên cứu kỹ tài liệu hướng dẫn, chủ động áp dụng vào thực tiễn trong quá trình giải quyết thủ tục hành chính; qua đó góp phần rút ngắn quy trình xử lý, tiết kiệm thời gian, nâng cao hiệu quả thực hiện nhiệm vụ</w:t>
      </w:r>
      <w:r w:rsidR="00CB35C9">
        <w:t xml:space="preserve"> </w:t>
      </w:r>
      <w:r w:rsidR="00CB35C9" w:rsidRPr="00CB35C9">
        <w:rPr>
          <w:i/>
        </w:rPr>
        <w:t>(</w:t>
      </w:r>
      <w:r w:rsidR="00A93457">
        <w:rPr>
          <w:i/>
        </w:rPr>
        <w:t>tài liệu</w:t>
      </w:r>
      <w:r w:rsidR="006063F4">
        <w:rPr>
          <w:i/>
        </w:rPr>
        <w:t xml:space="preserve"> đính kèm </w:t>
      </w:r>
      <w:r w:rsidR="006063F4" w:rsidRPr="00BE5CE6">
        <w:rPr>
          <w:b/>
          <w:i/>
        </w:rPr>
        <w:t>“HD luan chuyen HS.docx”</w:t>
      </w:r>
      <w:r w:rsidR="00CB35C9" w:rsidRPr="00BE5CE6">
        <w:rPr>
          <w:b/>
          <w:i/>
        </w:rPr>
        <w:t>)</w:t>
      </w:r>
    </w:p>
    <w:p w:rsidR="00D54969" w:rsidRDefault="00D54969" w:rsidP="009168EC">
      <w:pPr>
        <w:spacing w:line="288" w:lineRule="auto"/>
        <w:ind w:firstLine="720"/>
        <w:jc w:val="both"/>
        <w:rPr>
          <w:b/>
        </w:rPr>
      </w:pPr>
      <w:r>
        <w:rPr>
          <w:b/>
        </w:rPr>
        <w:t>4. Công tác giải quyết TTHC phi địa giới</w:t>
      </w:r>
    </w:p>
    <w:p w:rsidR="009168EC" w:rsidRDefault="009168EC" w:rsidP="009168EC">
      <w:pPr>
        <w:spacing w:line="288" w:lineRule="auto"/>
        <w:ind w:firstLine="720"/>
        <w:jc w:val="both"/>
      </w:pPr>
      <w:r>
        <w:t>Sở Nội vụ đã tổ chức rà soát, đối chiếu các thủ tục hành chính thuộc phạm vi quản lý có khả năng thực hiện theo phương thức phi địa giới trên địa bàn tỉnh; đồng thời tổng hợp, gửi thông tin về Bộ Nội vụ để phục vụ việc tích hợp chức năng hỗ trợ giải quyết thủ tục hành chính phi địa giới trên Hệ thống thông tin giải quyết thủ tục hành chính của Bộ.</w:t>
      </w:r>
      <w:r w:rsidRPr="009168EC">
        <w:rPr>
          <w:rStyle w:val="FootnoteReference"/>
        </w:rPr>
        <w:t xml:space="preserve"> </w:t>
      </w:r>
      <w:r w:rsidRPr="009168EC">
        <w:rPr>
          <w:rStyle w:val="FootnoteReference"/>
          <w:b/>
        </w:rPr>
        <w:footnoteReference w:id="3"/>
      </w:r>
    </w:p>
    <w:p w:rsidR="009168EC" w:rsidRDefault="009168EC" w:rsidP="009168EC">
      <w:pPr>
        <w:spacing w:line="288" w:lineRule="auto"/>
        <w:ind w:firstLine="720"/>
        <w:jc w:val="both"/>
      </w:pPr>
      <w:r>
        <w:t>Trong thời gian tới, khi Bộ Nội vụ hoàn thành việc tích hợp và có văn bản hướng dẫn vận hành chức năng giải quyết thủ tục hành chính phi địa giới, Sở Nội vụ sẽ kịp thời tổ chức triển khai, hướng dẫn các địa phương, cơ quan, đơn vị liên quan thực hiện, bảo đảm thống nhất, đồng bộ và hiệu quả.</w:t>
      </w:r>
    </w:p>
    <w:p w:rsidR="00134740" w:rsidRPr="009615AE" w:rsidRDefault="00D54969" w:rsidP="009168EC">
      <w:pPr>
        <w:spacing w:line="288" w:lineRule="auto"/>
        <w:ind w:firstLine="720"/>
        <w:jc w:val="both"/>
        <w:rPr>
          <w:b/>
        </w:rPr>
      </w:pPr>
      <w:r>
        <w:rPr>
          <w:b/>
        </w:rPr>
        <w:t>5</w:t>
      </w:r>
      <w:r w:rsidR="00134740" w:rsidRPr="009615AE">
        <w:rPr>
          <w:b/>
        </w:rPr>
        <w:t xml:space="preserve">. </w:t>
      </w:r>
      <w:r w:rsidR="0074531B" w:rsidRPr="009615AE">
        <w:rPr>
          <w:b/>
        </w:rPr>
        <w:t>Công tác tuyên truyền, hướng dẫn</w:t>
      </w:r>
    </w:p>
    <w:p w:rsidR="0074531B" w:rsidRDefault="0074531B" w:rsidP="009168EC">
      <w:pPr>
        <w:spacing w:line="288" w:lineRule="auto"/>
        <w:ind w:firstLine="720"/>
        <w:jc w:val="both"/>
      </w:pPr>
      <w:r>
        <w:t>- Tăng cường tuyên truyền, hướng dẫn</w:t>
      </w:r>
      <w:r w:rsidR="00C777EB">
        <w:t xml:space="preserve"> các tổ chức, cá nhân</w:t>
      </w:r>
      <w:r>
        <w:t xml:space="preserve"> thực hiện nộp hồ sơ giải quyết thủ tục hành chính lĩnh vực nội vụ tập trung trên Cổng Dịch vụ công quốc gia tại địa chỉ </w:t>
      </w:r>
      <w:hyperlink r:id="rId8" w:history="1">
        <w:r w:rsidRPr="00253F3C">
          <w:rPr>
            <w:rStyle w:val="Hyperlink"/>
          </w:rPr>
          <w:t>https://dichvucong.gov.vn/</w:t>
        </w:r>
      </w:hyperlink>
      <w:r>
        <w:t xml:space="preserve"> </w:t>
      </w:r>
    </w:p>
    <w:p w:rsidR="00DD14EE" w:rsidRDefault="00DD14EE" w:rsidP="009168EC">
      <w:pPr>
        <w:spacing w:line="288" w:lineRule="auto"/>
        <w:ind w:firstLine="720"/>
        <w:jc w:val="both"/>
      </w:pPr>
      <w:r>
        <w:t xml:space="preserve">- Đối với cán bộ tiếp nhận, giải quyết thủ tục hành chính: truy cập Hệ thống thông tin giải quyết thủ tục hành chính của Bộ Nội vụ tại địa chỉ </w:t>
      </w:r>
      <w:hyperlink r:id="rId9" w:history="1">
        <w:r w:rsidRPr="00253F3C">
          <w:rPr>
            <w:rStyle w:val="Hyperlink"/>
          </w:rPr>
          <w:t>https://motcua.moha.gov.vn</w:t>
        </w:r>
      </w:hyperlink>
      <w:r>
        <w:t xml:space="preserve"> , đăng nhập bằng tài khoản VNeID; đồng thời nghiên cứu các tài liệu hướng dẫn sử dụng hệ thống do Bộ Nội vụ ban hành </w:t>
      </w:r>
      <w:r w:rsidRPr="00DD14EE">
        <w:rPr>
          <w:i/>
        </w:rPr>
        <w:t>(quét mã QR kèm theo để tải tài liệu)</w:t>
      </w:r>
      <w:r>
        <w:t>;</w:t>
      </w:r>
    </w:p>
    <w:p w:rsidR="00F271ED" w:rsidRDefault="00C777EB" w:rsidP="009168EC">
      <w:pPr>
        <w:spacing w:line="288" w:lineRule="auto"/>
        <w:ind w:firstLine="720"/>
        <w:jc w:val="both"/>
      </w:pPr>
      <w:r>
        <w:lastRenderedPageBreak/>
        <w:t xml:space="preserve">- </w:t>
      </w:r>
      <w:r w:rsidR="00CB4057" w:rsidRPr="00CB4057">
        <w:t>Chủ động tham gia, theo dõi các kênh hướng dẫn của Bộ Nội vụ và Sở Nội vụ; phản ánh khó khăn, vướng mắc hoặc đề nghị hỗ trợ kỹ thuật thông qua nhóm Zalo tại địa</w:t>
      </w:r>
      <w:r>
        <w:t xml:space="preserve"> </w:t>
      </w:r>
      <w:hyperlink r:id="rId10" w:history="1">
        <w:r w:rsidRPr="00253F3C">
          <w:rPr>
            <w:rStyle w:val="Hyperlink"/>
          </w:rPr>
          <w:t>https://zalo.me/g/pkgegl747</w:t>
        </w:r>
      </w:hyperlink>
      <w:r>
        <w:t xml:space="preserve"> </w:t>
      </w:r>
    </w:p>
    <w:p w:rsidR="00134740" w:rsidRDefault="009702E9" w:rsidP="009168EC">
      <w:pPr>
        <w:spacing w:line="288" w:lineRule="auto"/>
        <w:ind w:firstLine="720"/>
        <w:jc w:val="both"/>
      </w:pPr>
      <w:r w:rsidRPr="009702E9">
        <w:t>Trong quá trình triển khai thực hiện, nếu phát sinh khó khăn, vướng mắc, đề nghị các cơ quan, đơn vị kịp thời phản ánh về Sở Nội vụ để được hướng dẫn, phối hợp xử lý; đồng thời, đề nghị Ủy ban nhân dân xã, phường, đặc khu quan tâm chỉ đạo, tổ chức triển khai thực hiện nghiêm túc các nội dung nêu trên./.</w:t>
      </w:r>
    </w:p>
    <w:p w:rsidR="009702E9" w:rsidRDefault="009702E9" w:rsidP="001E626B">
      <w:pPr>
        <w:ind w:firstLine="720"/>
        <w:jc w:val="both"/>
      </w:pPr>
    </w:p>
    <w:tbl>
      <w:tblPr>
        <w:tblStyle w:val="TableGrid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59"/>
        <w:gridCol w:w="3828"/>
      </w:tblGrid>
      <w:tr w:rsidR="00CF3772" w:rsidRPr="00FC7CBE" w:rsidTr="007B782D">
        <w:tc>
          <w:tcPr>
            <w:tcW w:w="3544" w:type="dxa"/>
          </w:tcPr>
          <w:p w:rsidR="00CF3772" w:rsidRPr="00CF41D8" w:rsidRDefault="00CF3772" w:rsidP="006053D2">
            <w:pPr>
              <w:spacing w:before="0"/>
              <w:ind w:left="-113"/>
              <w:jc w:val="both"/>
              <w:rPr>
                <w:b/>
                <w:i/>
                <w:sz w:val="24"/>
                <w:szCs w:val="24"/>
              </w:rPr>
            </w:pPr>
            <w:r w:rsidRPr="00CF41D8">
              <w:rPr>
                <w:b/>
                <w:i/>
                <w:sz w:val="24"/>
                <w:szCs w:val="24"/>
              </w:rPr>
              <w:t>Nơi nhận:</w:t>
            </w:r>
          </w:p>
          <w:p w:rsidR="000C510E" w:rsidRDefault="000C510E" w:rsidP="006053D2">
            <w:pPr>
              <w:spacing w:before="0"/>
              <w:ind w:left="-113"/>
              <w:jc w:val="both"/>
              <w:rPr>
                <w:sz w:val="22"/>
                <w:szCs w:val="24"/>
              </w:rPr>
            </w:pPr>
            <w:r>
              <w:rPr>
                <w:sz w:val="22"/>
                <w:szCs w:val="24"/>
              </w:rPr>
              <w:t>- Như trên;</w:t>
            </w:r>
          </w:p>
          <w:p w:rsidR="004B6190" w:rsidRDefault="004B6190" w:rsidP="006053D2">
            <w:pPr>
              <w:spacing w:before="0"/>
              <w:ind w:left="-113"/>
              <w:jc w:val="both"/>
              <w:rPr>
                <w:sz w:val="22"/>
                <w:szCs w:val="24"/>
              </w:rPr>
            </w:pPr>
            <w:r>
              <w:rPr>
                <w:sz w:val="22"/>
                <w:szCs w:val="24"/>
              </w:rPr>
              <w:t>- UBND tỉnh (b/c);</w:t>
            </w:r>
            <w:bookmarkStart w:id="0" w:name="_GoBack"/>
            <w:bookmarkEnd w:id="0"/>
          </w:p>
          <w:p w:rsidR="00BA72A1" w:rsidRDefault="00BA72A1" w:rsidP="006053D2">
            <w:pPr>
              <w:spacing w:before="0"/>
              <w:ind w:left="-113"/>
              <w:jc w:val="both"/>
              <w:rPr>
                <w:sz w:val="22"/>
                <w:szCs w:val="24"/>
              </w:rPr>
            </w:pPr>
            <w:r w:rsidRPr="009E43EB">
              <w:rPr>
                <w:sz w:val="22"/>
                <w:szCs w:val="24"/>
              </w:rPr>
              <w:t xml:space="preserve">- </w:t>
            </w:r>
            <w:r w:rsidR="007D51B3">
              <w:rPr>
                <w:sz w:val="22"/>
                <w:szCs w:val="24"/>
              </w:rPr>
              <w:t>BGĐ Sở (b/c);</w:t>
            </w:r>
          </w:p>
          <w:p w:rsidR="00F9703E" w:rsidRPr="009E43EB" w:rsidRDefault="00F9703E" w:rsidP="006053D2">
            <w:pPr>
              <w:spacing w:before="0"/>
              <w:ind w:left="-113"/>
              <w:jc w:val="both"/>
              <w:rPr>
                <w:sz w:val="22"/>
                <w:szCs w:val="24"/>
              </w:rPr>
            </w:pPr>
            <w:r>
              <w:rPr>
                <w:sz w:val="22"/>
                <w:szCs w:val="24"/>
              </w:rPr>
              <w:t>- Phòng, đơn vị thuộc Sở</w:t>
            </w:r>
            <w:r w:rsidR="009E4E0D">
              <w:rPr>
                <w:sz w:val="22"/>
                <w:szCs w:val="24"/>
              </w:rPr>
              <w:t xml:space="preserve"> (t/h</w:t>
            </w:r>
            <w:r>
              <w:rPr>
                <w:sz w:val="22"/>
                <w:szCs w:val="24"/>
              </w:rPr>
              <w:t>);</w:t>
            </w:r>
          </w:p>
          <w:p w:rsidR="00CF3772" w:rsidRPr="00FC7CBE" w:rsidRDefault="00CF3772" w:rsidP="008C77C7">
            <w:pPr>
              <w:spacing w:before="0"/>
              <w:ind w:left="-113"/>
              <w:jc w:val="both"/>
            </w:pPr>
            <w:r w:rsidRPr="009E43EB">
              <w:rPr>
                <w:sz w:val="22"/>
                <w:szCs w:val="24"/>
              </w:rPr>
              <w:t>- Lưu: VT</w:t>
            </w:r>
            <w:r w:rsidR="009E43EB">
              <w:rPr>
                <w:sz w:val="22"/>
                <w:szCs w:val="24"/>
              </w:rPr>
              <w:t>, VP</w:t>
            </w:r>
            <w:r w:rsidRPr="009E43EB">
              <w:rPr>
                <w:sz w:val="22"/>
                <w:szCs w:val="24"/>
                <w:vertAlign w:val="subscript"/>
              </w:rPr>
              <w:t>(</w:t>
            </w:r>
            <w:r w:rsidR="008C77C7">
              <w:rPr>
                <w:sz w:val="22"/>
                <w:szCs w:val="24"/>
                <w:vertAlign w:val="subscript"/>
              </w:rPr>
              <w:t>nhChanh</w:t>
            </w:r>
            <w:r w:rsidRPr="009E43EB">
              <w:rPr>
                <w:sz w:val="22"/>
                <w:szCs w:val="24"/>
                <w:vertAlign w:val="subscript"/>
              </w:rPr>
              <w:t>)</w:t>
            </w:r>
            <w:r w:rsidRPr="009E43EB">
              <w:rPr>
                <w:sz w:val="22"/>
                <w:szCs w:val="24"/>
              </w:rPr>
              <w:t>.</w:t>
            </w:r>
          </w:p>
        </w:tc>
        <w:tc>
          <w:tcPr>
            <w:tcW w:w="1559" w:type="dxa"/>
          </w:tcPr>
          <w:p w:rsidR="00CF3772" w:rsidRPr="00FC7CBE" w:rsidRDefault="00CF3772" w:rsidP="008249F4">
            <w:pPr>
              <w:spacing w:before="0"/>
              <w:jc w:val="both"/>
            </w:pPr>
          </w:p>
        </w:tc>
        <w:tc>
          <w:tcPr>
            <w:tcW w:w="3828" w:type="dxa"/>
          </w:tcPr>
          <w:p w:rsidR="00CF3772" w:rsidRDefault="00EB66A2" w:rsidP="008249F4">
            <w:pPr>
              <w:spacing w:before="0"/>
              <w:jc w:val="center"/>
              <w:rPr>
                <w:b/>
                <w:szCs w:val="30"/>
              </w:rPr>
            </w:pPr>
            <w:r>
              <w:rPr>
                <w:b/>
                <w:szCs w:val="30"/>
              </w:rPr>
              <w:t xml:space="preserve">KT. </w:t>
            </w:r>
            <w:r w:rsidR="00674875">
              <w:rPr>
                <w:b/>
                <w:szCs w:val="30"/>
              </w:rPr>
              <w:t>G</w:t>
            </w:r>
            <w:r w:rsidR="00CF3772" w:rsidRPr="00134858">
              <w:rPr>
                <w:b/>
                <w:szCs w:val="30"/>
              </w:rPr>
              <w:t>IÁM ĐỐC</w:t>
            </w:r>
          </w:p>
          <w:p w:rsidR="00EB66A2" w:rsidRDefault="00EB66A2" w:rsidP="008249F4">
            <w:pPr>
              <w:spacing w:before="0"/>
              <w:jc w:val="center"/>
              <w:rPr>
                <w:b/>
                <w:szCs w:val="30"/>
              </w:rPr>
            </w:pPr>
            <w:r>
              <w:rPr>
                <w:b/>
                <w:szCs w:val="30"/>
              </w:rPr>
              <w:t>PHÓ GIÁM ĐỐC</w:t>
            </w:r>
          </w:p>
          <w:p w:rsidR="00CF3772" w:rsidRDefault="00CF3772" w:rsidP="008249F4">
            <w:pPr>
              <w:spacing w:before="0"/>
              <w:jc w:val="center"/>
              <w:rPr>
                <w:b/>
                <w:szCs w:val="30"/>
              </w:rPr>
            </w:pPr>
          </w:p>
          <w:p w:rsidR="00A97E26" w:rsidRDefault="00A97E26" w:rsidP="008249F4">
            <w:pPr>
              <w:spacing w:before="0"/>
              <w:jc w:val="center"/>
              <w:rPr>
                <w:b/>
                <w:szCs w:val="30"/>
              </w:rPr>
            </w:pPr>
          </w:p>
          <w:p w:rsidR="00A97E26" w:rsidRPr="00134858" w:rsidRDefault="00A97E26" w:rsidP="008249F4">
            <w:pPr>
              <w:spacing w:before="0"/>
              <w:jc w:val="center"/>
              <w:rPr>
                <w:b/>
                <w:szCs w:val="30"/>
              </w:rPr>
            </w:pPr>
          </w:p>
          <w:p w:rsidR="00CF3772" w:rsidRPr="00134858" w:rsidRDefault="00CF3772" w:rsidP="008249F4">
            <w:pPr>
              <w:spacing w:before="0"/>
              <w:jc w:val="center"/>
              <w:rPr>
                <w:b/>
                <w:szCs w:val="30"/>
              </w:rPr>
            </w:pPr>
          </w:p>
          <w:p w:rsidR="00CF3772" w:rsidRPr="00134858" w:rsidRDefault="00CF3772" w:rsidP="008249F4">
            <w:pPr>
              <w:spacing w:before="0"/>
              <w:jc w:val="center"/>
              <w:rPr>
                <w:b/>
                <w:szCs w:val="30"/>
              </w:rPr>
            </w:pPr>
          </w:p>
          <w:p w:rsidR="00CF3772" w:rsidRPr="00FC7CBE" w:rsidRDefault="00EB66A2" w:rsidP="008249F4">
            <w:pPr>
              <w:spacing w:before="0"/>
              <w:jc w:val="center"/>
              <w:rPr>
                <w:b/>
              </w:rPr>
            </w:pPr>
            <w:r>
              <w:rPr>
                <w:b/>
                <w:szCs w:val="30"/>
              </w:rPr>
              <w:t>Trương Long Hồ</w:t>
            </w:r>
          </w:p>
        </w:tc>
      </w:tr>
      <w:tr w:rsidR="00F9703E" w:rsidRPr="00FC7CBE" w:rsidTr="007B782D">
        <w:tc>
          <w:tcPr>
            <w:tcW w:w="3544" w:type="dxa"/>
          </w:tcPr>
          <w:p w:rsidR="00F9703E" w:rsidRDefault="00F9703E" w:rsidP="00F9703E">
            <w:pPr>
              <w:spacing w:before="0"/>
              <w:ind w:left="-113"/>
              <w:jc w:val="center"/>
              <w:rPr>
                <w:b/>
                <w:i/>
                <w:sz w:val="24"/>
                <w:szCs w:val="24"/>
              </w:rPr>
            </w:pPr>
            <w:r>
              <w:rPr>
                <w:noProof/>
              </w:rPr>
              <w:drawing>
                <wp:inline distT="0" distB="0" distL="0" distR="0" wp14:anchorId="3E93273A" wp14:editId="2E54AE4E">
                  <wp:extent cx="1001864" cy="868283"/>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23709" cy="887216"/>
                          </a:xfrm>
                          <a:prstGeom prst="rect">
                            <a:avLst/>
                          </a:prstGeom>
                        </pic:spPr>
                      </pic:pic>
                    </a:graphicData>
                  </a:graphic>
                </wp:inline>
              </w:drawing>
            </w:r>
          </w:p>
          <w:p w:rsidR="00F9703E" w:rsidRPr="00CF41D8" w:rsidRDefault="00F9703E" w:rsidP="00F9703E">
            <w:pPr>
              <w:spacing w:before="0"/>
              <w:ind w:left="-113"/>
              <w:jc w:val="center"/>
              <w:rPr>
                <w:b/>
                <w:i/>
                <w:sz w:val="24"/>
                <w:szCs w:val="24"/>
              </w:rPr>
            </w:pPr>
            <w:r>
              <w:rPr>
                <w:b/>
                <w:i/>
                <w:sz w:val="24"/>
                <w:szCs w:val="24"/>
              </w:rPr>
              <w:t>Mã QR tài liệu</w:t>
            </w:r>
          </w:p>
        </w:tc>
        <w:tc>
          <w:tcPr>
            <w:tcW w:w="1559" w:type="dxa"/>
          </w:tcPr>
          <w:p w:rsidR="00F9703E" w:rsidRPr="00FC7CBE" w:rsidRDefault="00F9703E" w:rsidP="008249F4">
            <w:pPr>
              <w:spacing w:before="0"/>
              <w:jc w:val="both"/>
            </w:pPr>
          </w:p>
        </w:tc>
        <w:tc>
          <w:tcPr>
            <w:tcW w:w="3828" w:type="dxa"/>
          </w:tcPr>
          <w:p w:rsidR="00F9703E" w:rsidRDefault="00F9703E" w:rsidP="008249F4">
            <w:pPr>
              <w:spacing w:before="0"/>
              <w:jc w:val="center"/>
              <w:rPr>
                <w:b/>
                <w:szCs w:val="30"/>
              </w:rPr>
            </w:pPr>
          </w:p>
        </w:tc>
      </w:tr>
    </w:tbl>
    <w:p w:rsidR="005B7F41" w:rsidRPr="000F580D" w:rsidRDefault="005B7F41" w:rsidP="005F629D">
      <w:pPr>
        <w:jc w:val="both"/>
        <w:rPr>
          <w:szCs w:val="26"/>
        </w:rPr>
      </w:pPr>
    </w:p>
    <w:sectPr w:rsidR="005B7F41" w:rsidRPr="000F580D" w:rsidSect="008D3429">
      <w:headerReference w:type="default" r:id="rId12"/>
      <w:pgSz w:w="11907" w:h="16840" w:code="9"/>
      <w:pgMar w:top="1134" w:right="1134" w:bottom="1134" w:left="1701" w:header="39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DED" w:rsidRDefault="001E6DED" w:rsidP="00731B4C">
      <w:pPr>
        <w:spacing w:before="0"/>
      </w:pPr>
      <w:r>
        <w:separator/>
      </w:r>
    </w:p>
  </w:endnote>
  <w:endnote w:type="continuationSeparator" w:id="0">
    <w:p w:rsidR="001E6DED" w:rsidRDefault="001E6DED" w:rsidP="00731B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DED" w:rsidRDefault="001E6DED" w:rsidP="00731B4C">
      <w:pPr>
        <w:spacing w:before="0"/>
      </w:pPr>
      <w:r>
        <w:separator/>
      </w:r>
    </w:p>
  </w:footnote>
  <w:footnote w:type="continuationSeparator" w:id="0">
    <w:p w:rsidR="001E6DED" w:rsidRDefault="001E6DED" w:rsidP="00731B4C">
      <w:pPr>
        <w:spacing w:before="0"/>
      </w:pPr>
      <w:r>
        <w:continuationSeparator/>
      </w:r>
    </w:p>
  </w:footnote>
  <w:footnote w:id="1">
    <w:p w:rsidR="00C6187A" w:rsidRDefault="00C6187A" w:rsidP="00AF658F">
      <w:pPr>
        <w:pStyle w:val="FootnoteText"/>
        <w:spacing w:before="60"/>
        <w:ind w:firstLine="284"/>
        <w:jc w:val="both"/>
      </w:pPr>
      <w:r>
        <w:rPr>
          <w:rStyle w:val="FootnoteReference"/>
        </w:rPr>
        <w:footnoteRef/>
      </w:r>
      <w:r>
        <w:t xml:space="preserve"> Công văn số 421/SNV-VP ngày 21/01/2026 của Sở Nội vụ về việc phối hợp tích hợp, kết nối Hệ thống quản lý văn bản và điều hành với Hệ thống giải quyết TTHC của Bộ Nội vụ;</w:t>
      </w:r>
    </w:p>
  </w:footnote>
  <w:footnote w:id="2">
    <w:p w:rsidR="008A6F56" w:rsidRDefault="008A6F56" w:rsidP="00AF658F">
      <w:pPr>
        <w:pStyle w:val="FootnoteText"/>
        <w:spacing w:before="60"/>
        <w:ind w:firstLine="284"/>
        <w:jc w:val="both"/>
      </w:pPr>
      <w:r>
        <w:rPr>
          <w:rStyle w:val="FootnoteReference"/>
        </w:rPr>
        <w:footnoteRef/>
      </w:r>
      <w:r>
        <w:t xml:space="preserve"> Công văn số 1218/SNV-VP ngày 06/3/2026 của Sở Nội vụ về việc đề nghị hỗ trợ kết nối Hệ thống quản lý văn bản và điều hành với Hệ thống thông tin giải quyết TTHC của Bộ Nội vụ</w:t>
      </w:r>
    </w:p>
  </w:footnote>
  <w:footnote w:id="3">
    <w:p w:rsidR="009168EC" w:rsidRDefault="009168EC" w:rsidP="00AF658F">
      <w:pPr>
        <w:pStyle w:val="FootnoteText"/>
        <w:spacing w:before="60"/>
        <w:ind w:firstLine="284"/>
        <w:jc w:val="both"/>
      </w:pPr>
      <w:r>
        <w:rPr>
          <w:rStyle w:val="FootnoteReference"/>
        </w:rPr>
        <w:footnoteRef/>
      </w:r>
      <w:r>
        <w:t xml:space="preserve"> Công văn số 3960/SNV-VP ngày 03/4/2026 của Sở Nội vụ về việc cung cấp thông tin triển khai giải quyết thủ tục hành chính phi địa giới trên Hệ thống thông tingiải quyết TTHC của Bộ Nội vụ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0486"/>
      <w:docPartObj>
        <w:docPartGallery w:val="Page Numbers (Top of Page)"/>
        <w:docPartUnique/>
      </w:docPartObj>
    </w:sdtPr>
    <w:sdtEndPr>
      <w:rPr>
        <w:noProof/>
      </w:rPr>
    </w:sdtEndPr>
    <w:sdtContent>
      <w:p w:rsidR="00C777EB" w:rsidRDefault="00C777EB" w:rsidP="00731B4C">
        <w:pPr>
          <w:pStyle w:val="Header"/>
          <w:jc w:val="center"/>
        </w:pPr>
        <w:r>
          <w:fldChar w:fldCharType="begin"/>
        </w:r>
        <w:r>
          <w:instrText xml:space="preserve"> PAGE   \* MERGEFORMAT </w:instrText>
        </w:r>
        <w:r>
          <w:fldChar w:fldCharType="separate"/>
        </w:r>
        <w:r w:rsidR="004B6190">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418CE"/>
    <w:multiLevelType w:val="hybridMultilevel"/>
    <w:tmpl w:val="0F8CAA12"/>
    <w:lvl w:ilvl="0" w:tplc="33A6CEC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72"/>
    <w:rsid w:val="000162D8"/>
    <w:rsid w:val="00040DEF"/>
    <w:rsid w:val="00052766"/>
    <w:rsid w:val="0006655A"/>
    <w:rsid w:val="000B7D64"/>
    <w:rsid w:val="000C4119"/>
    <w:rsid w:val="000C510E"/>
    <w:rsid w:val="000D4167"/>
    <w:rsid w:val="000F580D"/>
    <w:rsid w:val="00101ED1"/>
    <w:rsid w:val="00113AE2"/>
    <w:rsid w:val="00134740"/>
    <w:rsid w:val="00134858"/>
    <w:rsid w:val="00146D45"/>
    <w:rsid w:val="001615E2"/>
    <w:rsid w:val="001A2F91"/>
    <w:rsid w:val="001A7D7B"/>
    <w:rsid w:val="001B40DC"/>
    <w:rsid w:val="001B4CCF"/>
    <w:rsid w:val="001E626B"/>
    <w:rsid w:val="001E6DED"/>
    <w:rsid w:val="001F3A00"/>
    <w:rsid w:val="001F3C30"/>
    <w:rsid w:val="00201401"/>
    <w:rsid w:val="00216B69"/>
    <w:rsid w:val="00227C6D"/>
    <w:rsid w:val="002709DF"/>
    <w:rsid w:val="002A2B97"/>
    <w:rsid w:val="002A2EB3"/>
    <w:rsid w:val="002B563F"/>
    <w:rsid w:val="002F1B38"/>
    <w:rsid w:val="003245E4"/>
    <w:rsid w:val="0033466F"/>
    <w:rsid w:val="00335936"/>
    <w:rsid w:val="0034015A"/>
    <w:rsid w:val="00363515"/>
    <w:rsid w:val="0036637F"/>
    <w:rsid w:val="003938EB"/>
    <w:rsid w:val="00394720"/>
    <w:rsid w:val="003A5BA2"/>
    <w:rsid w:val="003B657F"/>
    <w:rsid w:val="003D012F"/>
    <w:rsid w:val="003D68EC"/>
    <w:rsid w:val="003E0194"/>
    <w:rsid w:val="003E7A70"/>
    <w:rsid w:val="00404E1A"/>
    <w:rsid w:val="00410E50"/>
    <w:rsid w:val="00414409"/>
    <w:rsid w:val="00462031"/>
    <w:rsid w:val="00463C04"/>
    <w:rsid w:val="00465C55"/>
    <w:rsid w:val="00482A30"/>
    <w:rsid w:val="00490FEB"/>
    <w:rsid w:val="004931B2"/>
    <w:rsid w:val="004A7365"/>
    <w:rsid w:val="004B6190"/>
    <w:rsid w:val="004C70C0"/>
    <w:rsid w:val="004E5A31"/>
    <w:rsid w:val="004E7867"/>
    <w:rsid w:val="004F2716"/>
    <w:rsid w:val="004F6DA1"/>
    <w:rsid w:val="005119BE"/>
    <w:rsid w:val="00521510"/>
    <w:rsid w:val="005409AC"/>
    <w:rsid w:val="00547D27"/>
    <w:rsid w:val="0055020C"/>
    <w:rsid w:val="00571A36"/>
    <w:rsid w:val="005B78A4"/>
    <w:rsid w:val="005B7F41"/>
    <w:rsid w:val="005C379C"/>
    <w:rsid w:val="005D7843"/>
    <w:rsid w:val="005F03EE"/>
    <w:rsid w:val="005F2BB5"/>
    <w:rsid w:val="005F629D"/>
    <w:rsid w:val="00601C0C"/>
    <w:rsid w:val="006053D2"/>
    <w:rsid w:val="006063F4"/>
    <w:rsid w:val="0061185E"/>
    <w:rsid w:val="00674875"/>
    <w:rsid w:val="006822DA"/>
    <w:rsid w:val="00682B25"/>
    <w:rsid w:val="0068549C"/>
    <w:rsid w:val="006A02A5"/>
    <w:rsid w:val="0071127F"/>
    <w:rsid w:val="00711925"/>
    <w:rsid w:val="007123D1"/>
    <w:rsid w:val="00723AC7"/>
    <w:rsid w:val="0072630E"/>
    <w:rsid w:val="007317F3"/>
    <w:rsid w:val="007319DB"/>
    <w:rsid w:val="00731B4C"/>
    <w:rsid w:val="0074531B"/>
    <w:rsid w:val="00747281"/>
    <w:rsid w:val="007652B9"/>
    <w:rsid w:val="007968E8"/>
    <w:rsid w:val="00797A68"/>
    <w:rsid w:val="007B782D"/>
    <w:rsid w:val="007C4919"/>
    <w:rsid w:val="007D51B3"/>
    <w:rsid w:val="00823177"/>
    <w:rsid w:val="008249F4"/>
    <w:rsid w:val="00831D45"/>
    <w:rsid w:val="00846AAC"/>
    <w:rsid w:val="008652AD"/>
    <w:rsid w:val="008A4742"/>
    <w:rsid w:val="008A6F56"/>
    <w:rsid w:val="008B6E4E"/>
    <w:rsid w:val="008C2943"/>
    <w:rsid w:val="008C5213"/>
    <w:rsid w:val="008C77C7"/>
    <w:rsid w:val="008D3429"/>
    <w:rsid w:val="008E1230"/>
    <w:rsid w:val="00905ACA"/>
    <w:rsid w:val="009168EC"/>
    <w:rsid w:val="00926D42"/>
    <w:rsid w:val="00930309"/>
    <w:rsid w:val="00953200"/>
    <w:rsid w:val="009615AE"/>
    <w:rsid w:val="009702E9"/>
    <w:rsid w:val="00982910"/>
    <w:rsid w:val="009A20BB"/>
    <w:rsid w:val="009E43EB"/>
    <w:rsid w:val="009E4E0D"/>
    <w:rsid w:val="009E57D3"/>
    <w:rsid w:val="009E5B10"/>
    <w:rsid w:val="00A05644"/>
    <w:rsid w:val="00A26943"/>
    <w:rsid w:val="00A36D98"/>
    <w:rsid w:val="00A536A8"/>
    <w:rsid w:val="00A722E5"/>
    <w:rsid w:val="00A7502D"/>
    <w:rsid w:val="00A8473B"/>
    <w:rsid w:val="00A93457"/>
    <w:rsid w:val="00A9651D"/>
    <w:rsid w:val="00A97E26"/>
    <w:rsid w:val="00AB16B7"/>
    <w:rsid w:val="00AF658F"/>
    <w:rsid w:val="00B07508"/>
    <w:rsid w:val="00B174EB"/>
    <w:rsid w:val="00B2089B"/>
    <w:rsid w:val="00B238DD"/>
    <w:rsid w:val="00B43EBE"/>
    <w:rsid w:val="00B64AF4"/>
    <w:rsid w:val="00B73C09"/>
    <w:rsid w:val="00B87DD3"/>
    <w:rsid w:val="00BA72A1"/>
    <w:rsid w:val="00BD628A"/>
    <w:rsid w:val="00BE5CE6"/>
    <w:rsid w:val="00BF10EB"/>
    <w:rsid w:val="00BF46ED"/>
    <w:rsid w:val="00C040AA"/>
    <w:rsid w:val="00C04354"/>
    <w:rsid w:val="00C2248B"/>
    <w:rsid w:val="00C35047"/>
    <w:rsid w:val="00C4569A"/>
    <w:rsid w:val="00C6187A"/>
    <w:rsid w:val="00C66A84"/>
    <w:rsid w:val="00C777EB"/>
    <w:rsid w:val="00C804E2"/>
    <w:rsid w:val="00C84CBC"/>
    <w:rsid w:val="00C92213"/>
    <w:rsid w:val="00CA0B58"/>
    <w:rsid w:val="00CA1465"/>
    <w:rsid w:val="00CB35C9"/>
    <w:rsid w:val="00CB4057"/>
    <w:rsid w:val="00CE225B"/>
    <w:rsid w:val="00CE7B62"/>
    <w:rsid w:val="00CF3772"/>
    <w:rsid w:val="00CF41D8"/>
    <w:rsid w:val="00CF6292"/>
    <w:rsid w:val="00D05F7B"/>
    <w:rsid w:val="00D278B2"/>
    <w:rsid w:val="00D44AAB"/>
    <w:rsid w:val="00D51B59"/>
    <w:rsid w:val="00D54969"/>
    <w:rsid w:val="00D62706"/>
    <w:rsid w:val="00D65610"/>
    <w:rsid w:val="00D72B7C"/>
    <w:rsid w:val="00D73237"/>
    <w:rsid w:val="00DB6F65"/>
    <w:rsid w:val="00DC2933"/>
    <w:rsid w:val="00DD14EE"/>
    <w:rsid w:val="00DD531B"/>
    <w:rsid w:val="00DF1B25"/>
    <w:rsid w:val="00DF2A6F"/>
    <w:rsid w:val="00DF58DB"/>
    <w:rsid w:val="00E0313F"/>
    <w:rsid w:val="00E108EC"/>
    <w:rsid w:val="00E157BE"/>
    <w:rsid w:val="00E40876"/>
    <w:rsid w:val="00E553FB"/>
    <w:rsid w:val="00E5577F"/>
    <w:rsid w:val="00E72ACE"/>
    <w:rsid w:val="00E90E0A"/>
    <w:rsid w:val="00E91E90"/>
    <w:rsid w:val="00EB66A2"/>
    <w:rsid w:val="00ED491A"/>
    <w:rsid w:val="00EE0F0B"/>
    <w:rsid w:val="00EF1EA5"/>
    <w:rsid w:val="00F271ED"/>
    <w:rsid w:val="00F27789"/>
    <w:rsid w:val="00F41975"/>
    <w:rsid w:val="00F46737"/>
    <w:rsid w:val="00F56DF8"/>
    <w:rsid w:val="00F62BB8"/>
    <w:rsid w:val="00F86548"/>
    <w:rsid w:val="00F9222B"/>
    <w:rsid w:val="00F9703E"/>
    <w:rsid w:val="00FB268E"/>
    <w:rsid w:val="00FB6DF1"/>
    <w:rsid w:val="00FB72CB"/>
    <w:rsid w:val="00FE5F95"/>
    <w:rsid w:val="00FF34F8"/>
    <w:rsid w:val="00FF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433F"/>
  <w15:chartTrackingRefBased/>
  <w15:docId w15:val="{C5BA2F69-9736-4154-A476-64803C60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6ED"/>
    <w:pPr>
      <w:spacing w:before="120" w:after="0" w:line="240"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CF3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3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867"/>
    <w:pPr>
      <w:ind w:left="720"/>
      <w:contextualSpacing/>
    </w:pPr>
  </w:style>
  <w:style w:type="character" w:styleId="Hyperlink">
    <w:name w:val="Hyperlink"/>
    <w:basedOn w:val="DefaultParagraphFont"/>
    <w:uiPriority w:val="99"/>
    <w:unhideWhenUsed/>
    <w:rsid w:val="003E0194"/>
    <w:rPr>
      <w:color w:val="0563C1" w:themeColor="hyperlink"/>
      <w:u w:val="single"/>
    </w:rPr>
  </w:style>
  <w:style w:type="paragraph" w:styleId="NormalWeb">
    <w:name w:val="Normal (Web)"/>
    <w:basedOn w:val="Normal"/>
    <w:uiPriority w:val="99"/>
    <w:semiHidden/>
    <w:unhideWhenUsed/>
    <w:rsid w:val="002709DF"/>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731B4C"/>
    <w:pPr>
      <w:tabs>
        <w:tab w:val="center" w:pos="4680"/>
        <w:tab w:val="right" w:pos="9360"/>
      </w:tabs>
      <w:spacing w:before="0"/>
    </w:pPr>
  </w:style>
  <w:style w:type="character" w:customStyle="1" w:styleId="HeaderChar">
    <w:name w:val="Header Char"/>
    <w:basedOn w:val="DefaultParagraphFont"/>
    <w:link w:val="Header"/>
    <w:uiPriority w:val="99"/>
    <w:rsid w:val="00731B4C"/>
    <w:rPr>
      <w:rFonts w:ascii="Times New Roman" w:hAnsi="Times New Roman" w:cs="Times New Roman"/>
      <w:sz w:val="28"/>
      <w:szCs w:val="28"/>
    </w:rPr>
  </w:style>
  <w:style w:type="paragraph" w:styleId="Footer">
    <w:name w:val="footer"/>
    <w:basedOn w:val="Normal"/>
    <w:link w:val="FooterChar"/>
    <w:uiPriority w:val="99"/>
    <w:unhideWhenUsed/>
    <w:rsid w:val="00731B4C"/>
    <w:pPr>
      <w:tabs>
        <w:tab w:val="center" w:pos="4680"/>
        <w:tab w:val="right" w:pos="9360"/>
      </w:tabs>
      <w:spacing w:before="0"/>
    </w:pPr>
  </w:style>
  <w:style w:type="character" w:customStyle="1" w:styleId="FooterChar">
    <w:name w:val="Footer Char"/>
    <w:basedOn w:val="DefaultParagraphFont"/>
    <w:link w:val="Footer"/>
    <w:uiPriority w:val="99"/>
    <w:rsid w:val="00731B4C"/>
    <w:rPr>
      <w:rFonts w:ascii="Times New Roman" w:hAnsi="Times New Roman" w:cs="Times New Roman"/>
      <w:sz w:val="28"/>
      <w:szCs w:val="28"/>
    </w:rPr>
  </w:style>
  <w:style w:type="paragraph" w:styleId="FootnoteText">
    <w:name w:val="footnote text"/>
    <w:basedOn w:val="Normal"/>
    <w:link w:val="FootnoteTextChar"/>
    <w:uiPriority w:val="99"/>
    <w:semiHidden/>
    <w:unhideWhenUsed/>
    <w:rsid w:val="00C6187A"/>
    <w:pPr>
      <w:spacing w:before="0"/>
    </w:pPr>
    <w:rPr>
      <w:sz w:val="20"/>
      <w:szCs w:val="20"/>
    </w:rPr>
  </w:style>
  <w:style w:type="character" w:customStyle="1" w:styleId="FootnoteTextChar">
    <w:name w:val="Footnote Text Char"/>
    <w:basedOn w:val="DefaultParagraphFont"/>
    <w:link w:val="FootnoteText"/>
    <w:uiPriority w:val="99"/>
    <w:semiHidden/>
    <w:rsid w:val="00C6187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618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zalo.me/g/pkgegl747" TargetMode="External"/><Relationship Id="rId4" Type="http://schemas.openxmlformats.org/officeDocument/2006/relationships/settings" Target="settings.xml"/><Relationship Id="rId9" Type="http://schemas.openxmlformats.org/officeDocument/2006/relationships/hyperlink" Target="https://motcua.moha.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8A986-B5FC-4DBC-AA7B-7A7D59362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1626</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2026-03-31T02:16:00Z</dcterms:created>
  <dcterms:modified xsi:type="dcterms:W3CDTF">2026-04-06T09:49:00Z</dcterms:modified>
</cp:coreProperties>
</file>